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460A7" w:rsidRDefault="008460A7">
      <w:pPr>
        <w:jc w:val="right"/>
      </w:pPr>
      <w:r>
        <w:rPr>
          <w:sz w:val="20"/>
          <w:szCs w:val="20"/>
        </w:rPr>
        <w:t>Приложение №2</w:t>
      </w:r>
    </w:p>
    <w:p w:rsidR="008460A7" w:rsidRDefault="008460A7">
      <w:pPr>
        <w:jc w:val="right"/>
      </w:pPr>
      <w:r>
        <w:rPr>
          <w:sz w:val="20"/>
          <w:szCs w:val="20"/>
        </w:rPr>
        <w:t xml:space="preserve">к договору энергоснабжения № </w:t>
      </w:r>
      <w:r w:rsidR="00474349">
        <w:rPr>
          <w:sz w:val="20"/>
          <w:szCs w:val="20"/>
        </w:rPr>
        <w:t xml:space="preserve">   </w:t>
      </w:r>
      <w:r>
        <w:rPr>
          <w:sz w:val="20"/>
          <w:szCs w:val="20"/>
        </w:rPr>
        <w:t xml:space="preserve"> от ___.</w:t>
      </w:r>
      <w:r w:rsidR="00474349">
        <w:rPr>
          <w:sz w:val="20"/>
          <w:szCs w:val="20"/>
        </w:rPr>
        <w:t>__________</w:t>
      </w:r>
      <w:r>
        <w:rPr>
          <w:sz w:val="20"/>
          <w:szCs w:val="20"/>
        </w:rPr>
        <w:t xml:space="preserve"> г.</w:t>
      </w:r>
    </w:p>
    <w:p w:rsidR="008460A7" w:rsidRDefault="008460A7">
      <w:pPr>
        <w:spacing w:before="60" w:after="60"/>
        <w:jc w:val="center"/>
        <w:rPr>
          <w:b/>
        </w:rPr>
      </w:pPr>
    </w:p>
    <w:p w:rsidR="008460A7" w:rsidRDefault="008460A7">
      <w:pPr>
        <w:spacing w:before="60" w:after="60"/>
        <w:jc w:val="center"/>
        <w:rPr>
          <w:b/>
        </w:rPr>
      </w:pPr>
    </w:p>
    <w:p w:rsidR="008460A7" w:rsidRDefault="008460A7">
      <w:pPr>
        <w:spacing w:before="240" w:after="240"/>
        <w:jc w:val="center"/>
      </w:pPr>
      <w:r>
        <w:rPr>
          <w:b/>
        </w:rPr>
        <w:t xml:space="preserve">Порядок определения стоимости и </w:t>
      </w:r>
      <w:r>
        <w:rPr>
          <w:b/>
        </w:rPr>
        <w:br/>
        <w:t xml:space="preserve">порядок оплаты электрической энергии (мощности) </w:t>
      </w:r>
      <w:r>
        <w:rPr>
          <w:b/>
        </w:rPr>
        <w:br/>
      </w:r>
    </w:p>
    <w:p w:rsidR="008460A7" w:rsidRDefault="008460A7">
      <w:pPr>
        <w:pStyle w:val="ListParagraph"/>
        <w:numPr>
          <w:ilvl w:val="0"/>
          <w:numId w:val="2"/>
        </w:numPr>
        <w:spacing w:after="120"/>
        <w:ind w:left="0" w:firstLine="426"/>
        <w:jc w:val="both"/>
      </w:pPr>
      <w:r>
        <w:rPr>
          <w:color w:val="000000"/>
        </w:rPr>
        <w:t>Стоимость электрической энергии (мощности), поставляемой с розничного рынка по настоящему Договору, определяется следующим образом:</w:t>
      </w:r>
    </w:p>
    <w:p w:rsidR="008460A7" w:rsidRDefault="008460A7">
      <w:pPr>
        <w:pStyle w:val="ListParagraph"/>
        <w:tabs>
          <w:tab w:val="left" w:pos="142"/>
          <w:tab w:val="left" w:pos="993"/>
          <w:tab w:val="left" w:pos="1440"/>
        </w:tabs>
        <w:ind w:left="0" w:firstLine="426"/>
        <w:rPr>
          <w:i/>
          <w:szCs w:val="21"/>
        </w:rPr>
      </w:pPr>
    </w:p>
    <w:p w:rsidR="008460A7" w:rsidRDefault="008460A7">
      <w:pPr>
        <w:pStyle w:val="ListParagraph"/>
        <w:tabs>
          <w:tab w:val="left" w:pos="142"/>
          <w:tab w:val="left" w:pos="993"/>
          <w:tab w:val="left" w:pos="1440"/>
        </w:tabs>
        <w:ind w:left="0" w:firstLine="426"/>
        <w:jc w:val="center"/>
      </w:pPr>
      <w:r>
        <w:rPr>
          <w:b/>
          <w:i/>
          <w:szCs w:val="21"/>
        </w:rPr>
        <w:t>Цэ = Цэгп-</w:t>
      </w:r>
      <w:r w:rsidR="00474349">
        <w:rPr>
          <w:b/>
          <w:i/>
          <w:szCs w:val="21"/>
        </w:rPr>
        <w:t>_______</w:t>
      </w:r>
      <w:r>
        <w:rPr>
          <w:i/>
          <w:szCs w:val="21"/>
        </w:rPr>
        <w:t>,  (руб./кВт·ч)</w:t>
      </w:r>
    </w:p>
    <w:p w:rsidR="008460A7" w:rsidRDefault="008460A7">
      <w:pPr>
        <w:pStyle w:val="ListParagraph"/>
        <w:tabs>
          <w:tab w:val="left" w:pos="142"/>
          <w:tab w:val="left" w:pos="993"/>
          <w:tab w:val="left" w:pos="1440"/>
        </w:tabs>
        <w:ind w:left="0" w:firstLine="426"/>
        <w:jc w:val="both"/>
      </w:pPr>
      <w:r>
        <w:rPr>
          <w:szCs w:val="21"/>
        </w:rPr>
        <w:t>где:</w:t>
      </w:r>
    </w:p>
    <w:p w:rsidR="008460A7" w:rsidRDefault="008460A7">
      <w:pPr>
        <w:pStyle w:val="ListParagraph"/>
        <w:tabs>
          <w:tab w:val="left" w:pos="0"/>
        </w:tabs>
        <w:ind w:left="0" w:firstLine="426"/>
        <w:jc w:val="both"/>
      </w:pPr>
      <w:r>
        <w:rPr>
          <w:b/>
          <w:i/>
          <w:szCs w:val="21"/>
        </w:rPr>
        <w:t>Цэгп</w:t>
      </w:r>
      <w:r>
        <w:rPr>
          <w:i/>
          <w:szCs w:val="21"/>
        </w:rPr>
        <w:t xml:space="preserve"> (руб./кВт·ч)</w:t>
      </w:r>
      <w:r>
        <w:rPr>
          <w:szCs w:val="21"/>
        </w:rPr>
        <w:t xml:space="preserve"> – цена на электроэнергию (мощность) у Гарантирующего поставщика ПАО «ТНС энерго Марий Эл» (публикуется на официальном сайте ПАО «ТНС энерго Марий Эл» в сети Интернет: www.mari-el.tns-e.ru) для соответствующих уровня напряжения, максимальной мощности и ценовой категории, согласованных в приложении № 1 к Договору.</w:t>
      </w:r>
    </w:p>
    <w:p w:rsidR="008460A7" w:rsidRDefault="00474349">
      <w:pPr>
        <w:tabs>
          <w:tab w:val="left" w:pos="142"/>
          <w:tab w:val="left" w:pos="1200"/>
          <w:tab w:val="left" w:pos="1440"/>
        </w:tabs>
        <w:ind w:firstLine="567"/>
        <w:jc w:val="both"/>
      </w:pPr>
      <w:r>
        <w:rPr>
          <w:b/>
          <w:i/>
          <w:szCs w:val="21"/>
        </w:rPr>
        <w:t>______</w:t>
      </w:r>
      <w:r w:rsidR="008460A7">
        <w:rPr>
          <w:i/>
          <w:szCs w:val="21"/>
        </w:rPr>
        <w:t xml:space="preserve"> (руб./кВт·ч)</w:t>
      </w:r>
      <w:r w:rsidR="008460A7">
        <w:rPr>
          <w:szCs w:val="21"/>
        </w:rPr>
        <w:t xml:space="preserve"> – постоянная величина, на которую уменьшается цена на электроэнергию. </w:t>
      </w:r>
    </w:p>
    <w:p w:rsidR="008460A7" w:rsidRDefault="008460A7">
      <w:pPr>
        <w:tabs>
          <w:tab w:val="left" w:pos="142"/>
          <w:tab w:val="left" w:pos="1200"/>
          <w:tab w:val="left" w:pos="1440"/>
        </w:tabs>
        <w:ind w:firstLine="567"/>
        <w:jc w:val="both"/>
        <w:rPr>
          <w:szCs w:val="21"/>
        </w:rPr>
      </w:pPr>
    </w:p>
    <w:p w:rsidR="008460A7" w:rsidRDefault="008460A7">
      <w:pPr>
        <w:tabs>
          <w:tab w:val="left" w:pos="567"/>
          <w:tab w:val="left" w:pos="1440"/>
        </w:tabs>
        <w:ind w:firstLine="567"/>
        <w:jc w:val="both"/>
      </w:pPr>
      <w:r>
        <w:rPr>
          <w:szCs w:val="21"/>
        </w:rPr>
        <w:t>В случае неоднократного (два и более раз подряд) нарушения сроков платежей, установленных п.3</w:t>
      </w:r>
      <w:r>
        <w:rPr>
          <w:highlight w:val="white"/>
          <w:lang w:eastAsia="ru-RU"/>
        </w:rPr>
        <w:t xml:space="preserve"> настоящего Приложения</w:t>
      </w:r>
      <w:r>
        <w:rPr>
          <w:szCs w:val="21"/>
        </w:rPr>
        <w:t>, постоя</w:t>
      </w:r>
      <w:bookmarkStart w:id="0" w:name="_GoBack"/>
      <w:bookmarkEnd w:id="0"/>
      <w:r>
        <w:rPr>
          <w:szCs w:val="21"/>
        </w:rPr>
        <w:t>нная величина исключается из расчета цены на электрическую энергию (мощность) для Потребителя</w:t>
      </w:r>
      <w:r>
        <w:rPr>
          <w:sz w:val="18"/>
        </w:rPr>
        <w:t>.</w:t>
      </w:r>
    </w:p>
    <w:p w:rsidR="008460A7" w:rsidRDefault="008460A7">
      <w:pPr>
        <w:tabs>
          <w:tab w:val="left" w:pos="0"/>
        </w:tabs>
        <w:jc w:val="both"/>
        <w:rPr>
          <w:szCs w:val="21"/>
        </w:rPr>
      </w:pPr>
    </w:p>
    <w:p w:rsidR="008460A7" w:rsidRDefault="008460A7">
      <w:pPr>
        <w:pStyle w:val="ListParagraph"/>
        <w:tabs>
          <w:tab w:val="left" w:pos="0"/>
          <w:tab w:val="left" w:pos="567"/>
        </w:tabs>
        <w:ind w:left="0" w:firstLine="426"/>
        <w:jc w:val="both"/>
        <w:rPr>
          <w:szCs w:val="21"/>
        </w:rPr>
      </w:pPr>
    </w:p>
    <w:p w:rsidR="008460A7" w:rsidRDefault="008460A7">
      <w:pPr>
        <w:pStyle w:val="ListParagraph"/>
        <w:numPr>
          <w:ilvl w:val="0"/>
          <w:numId w:val="2"/>
        </w:numPr>
        <w:suppressAutoHyphens w:val="0"/>
        <w:spacing w:before="120" w:after="120"/>
        <w:ind w:left="0" w:firstLine="426"/>
        <w:jc w:val="both"/>
      </w:pPr>
      <w:r>
        <w:rPr>
          <w:lang w:eastAsia="ru-RU"/>
        </w:rPr>
        <w:t>Изменение цены в период действия Договора не требует его переоформления и вводится в действие со дня, указанного в нормативно-правовых актах и актах уполномоченных органов власти в области государственного регулирования тарифов, принятых в отношении Гарантирующего поставщика (ПАО «ТНС энерго Марий Эл»), при этом цена устанавливается исходя из цен на электрическую энергию (мощность) Гарантирующего поставщика. При отсутствии согласования Сторон цены Договора на очередной календарный год, стоимость потребляемой электрической энергии и мощности устанавливается в размере цены Гарантирующего поставщика за соответствующий период.</w:t>
      </w:r>
    </w:p>
    <w:p w:rsidR="008460A7" w:rsidRDefault="008460A7">
      <w:pPr>
        <w:suppressAutoHyphens w:val="0"/>
        <w:spacing w:before="120" w:after="120"/>
        <w:jc w:val="both"/>
        <w:rPr>
          <w:lang w:eastAsia="ru-RU"/>
        </w:rPr>
      </w:pPr>
    </w:p>
    <w:p w:rsidR="00D05A47" w:rsidRPr="00D05A47" w:rsidRDefault="008460A7" w:rsidP="00D05A47">
      <w:pPr>
        <w:pStyle w:val="ListParagraph"/>
        <w:numPr>
          <w:ilvl w:val="0"/>
          <w:numId w:val="2"/>
        </w:numPr>
        <w:ind w:left="0" w:firstLine="426"/>
        <w:jc w:val="both"/>
        <w:rPr>
          <w:rFonts w:eastAsia="Calibri"/>
          <w:lang w:eastAsia="ru-RU"/>
        </w:rPr>
      </w:pPr>
      <w:r>
        <w:rPr>
          <w:rFonts w:eastAsia="Calibri"/>
          <w:lang w:eastAsia="ru-RU"/>
        </w:rPr>
        <w:t xml:space="preserve">Расчет производится без авансовых платежей </w:t>
      </w:r>
      <w:r w:rsidR="00D05A47" w:rsidRPr="00D05A47">
        <w:rPr>
          <w:rFonts w:eastAsia="Calibri"/>
          <w:bCs/>
          <w:iCs/>
          <w:lang w:eastAsia="ru-RU"/>
        </w:rPr>
        <w:t>в течении 7 (семи) рабочих дней с даты подписания акта приема-передачи и на основании полученных от Энергосбытовой организации счета на оплату, счета-фактуры и акта приема-передачи подписанного сторонами.</w:t>
      </w:r>
    </w:p>
    <w:p w:rsidR="008460A7" w:rsidRDefault="008460A7">
      <w:pPr>
        <w:pStyle w:val="ListParagraph"/>
        <w:numPr>
          <w:ilvl w:val="0"/>
          <w:numId w:val="2"/>
        </w:numPr>
        <w:ind w:left="0" w:firstLine="426"/>
        <w:jc w:val="both"/>
      </w:pPr>
      <w:r>
        <w:rPr>
          <w:rFonts w:eastAsia="Calibri"/>
          <w:lang w:eastAsia="ru-RU"/>
        </w:rPr>
        <w:t xml:space="preserve"> по фактическим показаниям расчетных приборов учета на основании выставленного Потребителю акта приема-передачи электроэнергии и/или счета на оплату. Энергосбытовая организация обязуется выставить Потребителю документы на оплату не позднее трех рабочих дней до даты оплаты.</w:t>
      </w:r>
    </w:p>
    <w:p w:rsidR="008460A7" w:rsidRDefault="008460A7">
      <w:pPr>
        <w:jc w:val="both"/>
        <w:rPr>
          <w:sz w:val="23"/>
          <w:szCs w:val="23"/>
        </w:rPr>
      </w:pPr>
    </w:p>
    <w:p w:rsidR="008460A7" w:rsidRDefault="008460A7">
      <w:pPr>
        <w:pStyle w:val="ListParagraph"/>
        <w:numPr>
          <w:ilvl w:val="0"/>
          <w:numId w:val="2"/>
        </w:numPr>
        <w:suppressAutoHyphens w:val="0"/>
        <w:spacing w:before="120" w:after="120"/>
        <w:ind w:left="0" w:firstLine="426"/>
        <w:jc w:val="both"/>
      </w:pPr>
      <w:r>
        <w:rPr>
          <w:lang w:eastAsia="ru-RU"/>
        </w:rPr>
        <w:t>Расчет производится по фактическим показаниям расчетных приборов учета на основании выставленного Потребителю акта приема-передачи электроэнергии и/или счета на оплату. Энергосбытовая организация обязуется выставить Потребителю документы на оплату не позднее трех рабочих дней до даты оплаты.</w:t>
      </w:r>
    </w:p>
    <w:p w:rsidR="008460A7" w:rsidRDefault="008460A7">
      <w:pPr>
        <w:suppressAutoHyphens w:val="0"/>
        <w:spacing w:before="120" w:after="120"/>
        <w:jc w:val="both"/>
        <w:rPr>
          <w:lang w:eastAsia="ru-RU"/>
        </w:rPr>
      </w:pPr>
    </w:p>
    <w:p w:rsidR="008460A7" w:rsidRDefault="008460A7">
      <w:pPr>
        <w:pStyle w:val="ListParagraph"/>
        <w:numPr>
          <w:ilvl w:val="0"/>
          <w:numId w:val="2"/>
        </w:numPr>
        <w:suppressAutoHyphens w:val="0"/>
        <w:spacing w:before="120" w:after="120"/>
        <w:ind w:left="0" w:firstLine="426"/>
        <w:jc w:val="both"/>
      </w:pPr>
      <w:r>
        <w:rPr>
          <w:highlight w:val="white"/>
          <w:lang w:eastAsia="ru-RU"/>
        </w:rPr>
        <w:lastRenderedPageBreak/>
        <w:t>Расчетным периодом признается календарный месяц. Период платежа определяется сроком согласно п.3 настоящего Приложения. Днем оплаты считается день зачисления денежных средств на расчетный счет Энергосбытовой организации.</w:t>
      </w:r>
    </w:p>
    <w:p w:rsidR="008460A7" w:rsidRDefault="008460A7">
      <w:pPr>
        <w:suppressAutoHyphens w:val="0"/>
        <w:spacing w:before="120" w:after="120"/>
        <w:ind w:firstLine="426"/>
        <w:jc w:val="both"/>
        <w:rPr>
          <w:lang w:eastAsia="ru-RU"/>
        </w:rPr>
      </w:pPr>
    </w:p>
    <w:p w:rsidR="008460A7" w:rsidRDefault="008460A7">
      <w:pPr>
        <w:pStyle w:val="ListParagraph"/>
        <w:numPr>
          <w:ilvl w:val="0"/>
          <w:numId w:val="2"/>
        </w:numPr>
        <w:suppressAutoHyphens w:val="0"/>
        <w:spacing w:before="120" w:after="120"/>
        <w:ind w:left="0" w:firstLine="426"/>
        <w:jc w:val="both"/>
      </w:pPr>
      <w:r>
        <w:rPr>
          <w:highlight w:val="white"/>
          <w:lang w:eastAsia="ru-RU"/>
        </w:rPr>
        <w:t>При оплате электрической энергии Потребитель обязан указать в платежном документе назначение и период платежа. При отсутствии в платежном документе назначения платежа и наличии у Потребителя задолженности по оплате электроэнергии (мощности) за предыдущие периоды, поступающие от Потребителя платежи за электроэнергию (мощность), засчитываются в счет погашения задолженности по оплате электроэнергии (мощности) за предыдущие периоды.</w:t>
      </w:r>
      <w:r>
        <w:rPr>
          <w:lang w:eastAsia="ru-RU"/>
        </w:rPr>
        <w:t xml:space="preserve"> В случаях, когда сумма платежей превышает сумму окончательных финансовых обязательств Потребителя по истечении расчетного периода, излишек денежных средств засчитывается в счет платежей в следующем расчетном периоде.</w:t>
      </w:r>
    </w:p>
    <w:p w:rsidR="008460A7" w:rsidRDefault="008460A7">
      <w:pPr>
        <w:pStyle w:val="ListParagraph"/>
        <w:suppressAutoHyphens w:val="0"/>
        <w:spacing w:before="120" w:after="120"/>
        <w:ind w:left="0" w:firstLine="426"/>
        <w:jc w:val="both"/>
        <w:rPr>
          <w:lang w:eastAsia="ru-RU"/>
        </w:rPr>
      </w:pPr>
    </w:p>
    <w:p w:rsidR="008460A7" w:rsidRDefault="008460A7">
      <w:pPr>
        <w:pStyle w:val="ListParagraph"/>
        <w:numPr>
          <w:ilvl w:val="0"/>
          <w:numId w:val="2"/>
        </w:numPr>
        <w:suppressAutoHyphens w:val="0"/>
        <w:spacing w:before="120" w:after="120"/>
        <w:ind w:left="0" w:firstLine="426"/>
        <w:jc w:val="both"/>
      </w:pPr>
      <w:r>
        <w:rPr>
          <w:highlight w:val="white"/>
          <w:lang w:eastAsia="ru-RU"/>
        </w:rPr>
        <w:t xml:space="preserve">За нарушение Потребителем обязательств по оплате, выразившихся в нарушении сроков, размеров или условий оплаты по Договору согласно условиям настоящего Приложения на сумму неисполненного (ненадлежащим образом исполненного) обязательства по оплате, Энергосбытовая </w:t>
      </w:r>
      <w:r>
        <w:t>организация вправе начислять Потребителю пени (неустойку) начиная со дня, следующего за днем наступления установленного срока оплаты, за каждый день просрочки, включая день фактической оплаты. Пени на сумму задолженности уплачиваются в размере 1/130 ключевой ставки Банка России, действующей на дату оплаты.</w:t>
      </w:r>
    </w:p>
    <w:p w:rsidR="008460A7" w:rsidRDefault="008460A7">
      <w:pPr>
        <w:suppressAutoHyphens w:val="0"/>
        <w:spacing w:before="120" w:after="120"/>
        <w:ind w:firstLine="426"/>
        <w:jc w:val="both"/>
        <w:rPr>
          <w:lang w:eastAsia="ru-RU"/>
        </w:rPr>
      </w:pPr>
    </w:p>
    <w:p w:rsidR="008460A7" w:rsidRDefault="008460A7">
      <w:pPr>
        <w:pStyle w:val="ListParagraph"/>
        <w:numPr>
          <w:ilvl w:val="0"/>
          <w:numId w:val="2"/>
        </w:numPr>
        <w:suppressAutoHyphens w:val="0"/>
        <w:spacing w:before="120" w:after="120"/>
        <w:ind w:left="0" w:firstLine="426"/>
        <w:jc w:val="both"/>
      </w:pPr>
      <w:r>
        <w:t>При нарушении Потребителем согласованных сторонами сроков, размеров и (или) условий оплаты по Договору, если это привело к образованию задолженности Потребителя перед Энергосбытовой организацией в размере, равном или более 30% от выставленного Потребителю акта приема-передачи электроэнергии, Энергосбытовая организация в одностороннем порядке вправе ввести ограничение режима потребления электроэнергии в соответствии с действующим законодательством РФ и условиями настоящего Договора.</w:t>
      </w:r>
    </w:p>
    <w:p w:rsidR="008460A7" w:rsidRDefault="008460A7">
      <w:pPr>
        <w:ind w:firstLine="426"/>
        <w:jc w:val="both"/>
        <w:rPr>
          <w:color w:val="000000"/>
        </w:rPr>
      </w:pPr>
    </w:p>
    <w:tbl>
      <w:tblPr>
        <w:tblW w:w="0" w:type="auto"/>
        <w:tblInd w:w="162" w:type="dxa"/>
        <w:tblLayout w:type="fixed"/>
        <w:tblCellMar>
          <w:top w:w="100" w:type="dxa"/>
          <w:left w:w="100" w:type="dxa"/>
          <w:bottom w:w="100" w:type="dxa"/>
          <w:right w:w="100" w:type="dxa"/>
        </w:tblCellMar>
        <w:tblLook w:val="0000"/>
      </w:tblPr>
      <w:tblGrid>
        <w:gridCol w:w="4604"/>
        <w:gridCol w:w="4785"/>
      </w:tblGrid>
      <w:tr w:rsidR="008460A7">
        <w:trPr>
          <w:trHeight w:val="1010"/>
        </w:trPr>
        <w:tc>
          <w:tcPr>
            <w:tcW w:w="4604" w:type="dxa"/>
            <w:tcBorders>
              <w:top w:val="single" w:sz="8" w:space="0" w:color="FFFFFF"/>
              <w:left w:val="single" w:sz="8" w:space="0" w:color="FFFFFF"/>
              <w:bottom w:val="single" w:sz="8" w:space="0" w:color="FFFFFF"/>
              <w:right w:val="single" w:sz="8" w:space="0" w:color="FFFFFF"/>
            </w:tcBorders>
            <w:shd w:val="clear" w:color="auto" w:fill="auto"/>
          </w:tcPr>
          <w:p w:rsidR="008460A7" w:rsidRDefault="008460A7">
            <w:pPr>
              <w:widowControl w:val="0"/>
              <w:pBdr>
                <w:top w:val="none" w:sz="0" w:space="0" w:color="000000"/>
                <w:left w:val="none" w:sz="0" w:space="0" w:color="000000"/>
                <w:bottom w:val="none" w:sz="0" w:space="0" w:color="000000"/>
                <w:right w:val="none" w:sz="0" w:space="0" w:color="000000"/>
              </w:pBdr>
              <w:ind w:firstLine="426"/>
            </w:pPr>
            <w:r>
              <w:rPr>
                <w:b/>
                <w:color w:val="000000"/>
              </w:rPr>
              <w:t>Энергосбытовая организация</w:t>
            </w:r>
          </w:p>
        </w:tc>
        <w:tc>
          <w:tcPr>
            <w:tcW w:w="4785" w:type="dxa"/>
            <w:tcBorders>
              <w:top w:val="single" w:sz="8" w:space="0" w:color="FFFFFF"/>
              <w:left w:val="single" w:sz="8" w:space="0" w:color="FFFFFF"/>
              <w:bottom w:val="single" w:sz="8" w:space="0" w:color="FFFFFF"/>
              <w:right w:val="single" w:sz="8" w:space="0" w:color="FFFFFF"/>
            </w:tcBorders>
            <w:shd w:val="clear" w:color="auto" w:fill="auto"/>
          </w:tcPr>
          <w:p w:rsidR="008460A7" w:rsidRDefault="008460A7">
            <w:pPr>
              <w:widowControl w:val="0"/>
              <w:pBdr>
                <w:top w:val="none" w:sz="0" w:space="0" w:color="000000"/>
                <w:left w:val="none" w:sz="0" w:space="0" w:color="000000"/>
                <w:bottom w:val="none" w:sz="0" w:space="0" w:color="000000"/>
                <w:right w:val="none" w:sz="0" w:space="0" w:color="000000"/>
              </w:pBdr>
              <w:ind w:firstLine="426"/>
            </w:pPr>
            <w:r>
              <w:rPr>
                <w:b/>
                <w:color w:val="000000"/>
              </w:rPr>
              <w:t>Потребитель</w:t>
            </w:r>
          </w:p>
        </w:tc>
      </w:tr>
      <w:tr w:rsidR="008460A7">
        <w:tc>
          <w:tcPr>
            <w:tcW w:w="4604" w:type="dxa"/>
            <w:tcBorders>
              <w:top w:val="single" w:sz="8" w:space="0" w:color="FFFFFF"/>
              <w:left w:val="single" w:sz="8" w:space="0" w:color="FFFFFF"/>
              <w:bottom w:val="single" w:sz="8" w:space="0" w:color="FFFFFF"/>
              <w:right w:val="single" w:sz="8" w:space="0" w:color="FFFFFF"/>
            </w:tcBorders>
            <w:shd w:val="clear" w:color="auto" w:fill="auto"/>
          </w:tcPr>
          <w:p w:rsidR="008460A7" w:rsidRDefault="008460A7" w:rsidP="00474349">
            <w:pPr>
              <w:widowControl w:val="0"/>
              <w:pBdr>
                <w:top w:val="none" w:sz="0" w:space="0" w:color="000000"/>
                <w:left w:val="none" w:sz="0" w:space="0" w:color="000000"/>
                <w:bottom w:val="none" w:sz="0" w:space="0" w:color="000000"/>
                <w:right w:val="none" w:sz="0" w:space="0" w:color="000000"/>
              </w:pBdr>
              <w:ind w:firstLine="426"/>
            </w:pPr>
            <w:r>
              <w:rPr>
                <w:color w:val="000000"/>
              </w:rPr>
              <w:t>__________________/</w:t>
            </w:r>
          </w:p>
        </w:tc>
        <w:tc>
          <w:tcPr>
            <w:tcW w:w="4785" w:type="dxa"/>
            <w:tcBorders>
              <w:top w:val="single" w:sz="8" w:space="0" w:color="FFFFFF"/>
              <w:left w:val="single" w:sz="8" w:space="0" w:color="FFFFFF"/>
              <w:bottom w:val="single" w:sz="8" w:space="0" w:color="FFFFFF"/>
              <w:right w:val="single" w:sz="8" w:space="0" w:color="FFFFFF"/>
            </w:tcBorders>
            <w:shd w:val="clear" w:color="auto" w:fill="auto"/>
          </w:tcPr>
          <w:p w:rsidR="008460A7" w:rsidRDefault="008460A7" w:rsidP="00474349">
            <w:pPr>
              <w:widowControl w:val="0"/>
              <w:pBdr>
                <w:top w:val="none" w:sz="0" w:space="0" w:color="000000"/>
                <w:left w:val="none" w:sz="0" w:space="0" w:color="000000"/>
                <w:bottom w:val="none" w:sz="0" w:space="0" w:color="000000"/>
                <w:right w:val="none" w:sz="0" w:space="0" w:color="000000"/>
              </w:pBdr>
              <w:ind w:firstLine="426"/>
            </w:pPr>
            <w:r>
              <w:rPr>
                <w:color w:val="000000"/>
              </w:rPr>
              <w:t>____________________/</w:t>
            </w:r>
            <w:r>
              <w:t xml:space="preserve"> </w:t>
            </w:r>
          </w:p>
        </w:tc>
      </w:tr>
      <w:tr w:rsidR="008460A7">
        <w:tc>
          <w:tcPr>
            <w:tcW w:w="4604" w:type="dxa"/>
            <w:tcBorders>
              <w:top w:val="single" w:sz="8" w:space="0" w:color="FFFFFF"/>
              <w:left w:val="single" w:sz="8" w:space="0" w:color="FFFFFF"/>
              <w:bottom w:val="single" w:sz="8" w:space="0" w:color="FFFFFF"/>
              <w:right w:val="single" w:sz="8" w:space="0" w:color="FFFFFF"/>
            </w:tcBorders>
            <w:shd w:val="clear" w:color="auto" w:fill="auto"/>
          </w:tcPr>
          <w:p w:rsidR="008460A7" w:rsidRDefault="008460A7">
            <w:pPr>
              <w:widowControl w:val="0"/>
              <w:pBdr>
                <w:top w:val="none" w:sz="0" w:space="0" w:color="000000"/>
                <w:left w:val="none" w:sz="0" w:space="0" w:color="000000"/>
                <w:bottom w:val="none" w:sz="0" w:space="0" w:color="000000"/>
                <w:right w:val="none" w:sz="0" w:space="0" w:color="000000"/>
              </w:pBdr>
              <w:ind w:firstLine="426"/>
            </w:pPr>
            <w:r>
              <w:rPr>
                <w:color w:val="000000"/>
              </w:rPr>
              <w:t>мп</w:t>
            </w:r>
          </w:p>
        </w:tc>
        <w:tc>
          <w:tcPr>
            <w:tcW w:w="4785" w:type="dxa"/>
            <w:tcBorders>
              <w:top w:val="single" w:sz="8" w:space="0" w:color="FFFFFF"/>
              <w:left w:val="single" w:sz="8" w:space="0" w:color="FFFFFF"/>
              <w:bottom w:val="single" w:sz="8" w:space="0" w:color="FFFFFF"/>
              <w:right w:val="single" w:sz="8" w:space="0" w:color="FFFFFF"/>
            </w:tcBorders>
            <w:shd w:val="clear" w:color="auto" w:fill="auto"/>
          </w:tcPr>
          <w:p w:rsidR="008460A7" w:rsidRDefault="008460A7">
            <w:pPr>
              <w:widowControl w:val="0"/>
              <w:pBdr>
                <w:top w:val="none" w:sz="0" w:space="0" w:color="000000"/>
                <w:left w:val="none" w:sz="0" w:space="0" w:color="000000"/>
                <w:bottom w:val="none" w:sz="0" w:space="0" w:color="000000"/>
                <w:right w:val="none" w:sz="0" w:space="0" w:color="000000"/>
              </w:pBdr>
              <w:ind w:firstLine="426"/>
            </w:pPr>
            <w:r>
              <w:rPr>
                <w:color w:val="000000"/>
              </w:rPr>
              <w:t>мп</w:t>
            </w:r>
          </w:p>
        </w:tc>
      </w:tr>
    </w:tbl>
    <w:p w:rsidR="008460A7" w:rsidRDefault="008460A7">
      <w:pPr>
        <w:ind w:firstLine="426"/>
        <w:jc w:val="both"/>
      </w:pPr>
      <w:r>
        <w:t xml:space="preserve"> </w:t>
      </w:r>
    </w:p>
    <w:sectPr w:rsidR="008460A7">
      <w:footerReference w:type="default" r:id="rId7"/>
      <w:footerReference w:type="first" r:id="rId8"/>
      <w:pgSz w:w="11906" w:h="16838"/>
      <w:pgMar w:top="567" w:right="851" w:bottom="777"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1DB" w:rsidRDefault="006411DB">
      <w:r>
        <w:separator/>
      </w:r>
    </w:p>
  </w:endnote>
  <w:endnote w:type="continuationSeparator" w:id="1">
    <w:p w:rsidR="006411DB" w:rsidRDefault="006411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0A7" w:rsidRDefault="008460A7">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0A7" w:rsidRDefault="008460A7">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1DB" w:rsidRDefault="006411DB">
      <w:r>
        <w:separator/>
      </w:r>
    </w:p>
  </w:footnote>
  <w:footnote w:type="continuationSeparator" w:id="1">
    <w:p w:rsidR="006411DB" w:rsidRDefault="006411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0"/>
        </w:tabs>
        <w:ind w:left="786" w:hanging="360"/>
      </w:pPr>
      <w:rPr>
        <w:lang w:eastAsia="ru-RU"/>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mirrorMargins/>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0"/>
    <w:footnote w:id="1"/>
  </w:footnotePr>
  <w:endnotePr>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5A47"/>
    <w:rsid w:val="00474349"/>
    <w:rsid w:val="006411DB"/>
    <w:rsid w:val="008460A7"/>
    <w:rsid w:val="00D05A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Cambria" w:hAnsi="Cambria" w:cs="Cambria"/>
      <w:b/>
      <w:bCs/>
      <w:kern w:val="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lang w:eastAsia="ru-RU"/>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efaultParagraphFont">
    <w:name w:val="Default Paragraph Fon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4">
    <w:name w:val="Основной шрифт абзаца4"/>
  </w:style>
  <w:style w:type="character" w:customStyle="1" w:styleId="3">
    <w:name w:val="Основной шрифт абзаца3"/>
  </w:style>
  <w:style w:type="character" w:customStyle="1" w:styleId="2">
    <w:name w:val="Основной шрифт абзаца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3z1">
    <w:name w:val="WW8Num3z1"/>
    <w:rPr>
      <w:rFonts w:ascii="Symbol" w:hAnsi="Symbol" w:cs="Symbol"/>
    </w:rPr>
  </w:style>
  <w:style w:type="character" w:customStyle="1" w:styleId="WW8Num4z1">
    <w:name w:val="WW8Num4z1"/>
    <w:rPr>
      <w:rFonts w:ascii="Symbol" w:hAnsi="Symbol" w:cs="Symbol"/>
    </w:rPr>
  </w:style>
  <w:style w:type="character" w:customStyle="1" w:styleId="WW8Num6z1">
    <w:name w:val="WW8Num6z1"/>
    <w:rPr>
      <w:rFonts w:ascii="Symbol" w:hAnsi="Symbol" w:cs="Symbol"/>
    </w:rPr>
  </w:style>
  <w:style w:type="character" w:customStyle="1" w:styleId="WW8Num7z1">
    <w:name w:val="WW8Num7z1"/>
    <w:rPr>
      <w:rFonts w:ascii="Symbol" w:hAnsi="Symbol" w:cs="Symbol"/>
    </w:rPr>
  </w:style>
  <w:style w:type="character" w:customStyle="1" w:styleId="WW8Num8z1">
    <w:name w:val="WW8Num8z1"/>
    <w:rPr>
      <w:rFonts w:ascii="Symbol" w:hAnsi="Symbol" w:cs="Symbol"/>
    </w:rPr>
  </w:style>
  <w:style w:type="character" w:customStyle="1" w:styleId="WW8Num9z1">
    <w:name w:val="WW8Num9z1"/>
    <w:rPr>
      <w:rFonts w:ascii="Symbol" w:hAnsi="Symbol" w:cs="Symbol"/>
    </w:rPr>
  </w:style>
  <w:style w:type="character" w:customStyle="1" w:styleId="WW8Num10z1">
    <w:name w:val="WW8Num10z1"/>
    <w:rPr>
      <w:rFonts w:ascii="Symbol" w:hAnsi="Symbol" w:cs="Symbol"/>
    </w:rPr>
  </w:style>
  <w:style w:type="character" w:customStyle="1" w:styleId="WW8Num11z1">
    <w:name w:val="WW8Num11z1"/>
    <w:rPr>
      <w:rFonts w:ascii="Symbol" w:hAnsi="Symbol" w:cs="Symbol"/>
    </w:rPr>
  </w:style>
  <w:style w:type="character" w:customStyle="1" w:styleId="WW8Num12z1">
    <w:name w:val="WW8Num12z1"/>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Times New Roman" w:hAnsi="Times New Roman" w:cs="Times New Roman"/>
    </w:rPr>
  </w:style>
  <w:style w:type="character" w:customStyle="1" w:styleId="10">
    <w:name w:val="Основной шрифт абзаца1"/>
  </w:style>
  <w:style w:type="character" w:styleId="a3">
    <w:name w:val="Emphasis"/>
    <w:qFormat/>
    <w:rPr>
      <w:i/>
      <w:iCs/>
    </w:rPr>
  </w:style>
  <w:style w:type="character" w:customStyle="1" w:styleId="a4">
    <w:name w:val="Знак Знак"/>
    <w:rPr>
      <w:rFonts w:ascii="Cambria" w:eastAsia="Times New Roman" w:hAnsi="Cambria" w:cs="Times New Roman"/>
      <w:b/>
      <w:bCs/>
      <w:kern w:val="2"/>
      <w:sz w:val="32"/>
      <w:szCs w:val="32"/>
    </w:rPr>
  </w:style>
  <w:style w:type="character" w:styleId="a5">
    <w:name w:val="Hyperlink"/>
    <w:rPr>
      <w:color w:val="0000FF"/>
      <w:u w:val="single"/>
    </w:rPr>
  </w:style>
  <w:style w:type="character" w:customStyle="1" w:styleId="a6">
    <w:name w:val="Верхний колонтитул Знак"/>
    <w:rPr>
      <w:sz w:val="24"/>
      <w:szCs w:val="24"/>
      <w:lang w:eastAsia="ar-SA"/>
    </w:rPr>
  </w:style>
  <w:style w:type="character" w:customStyle="1" w:styleId="a7">
    <w:name w:val="Нижний колонтитул Знак"/>
    <w:rPr>
      <w:sz w:val="24"/>
      <w:szCs w:val="24"/>
      <w:lang w:eastAsia="ar-SA"/>
    </w:rPr>
  </w:style>
  <w:style w:type="character" w:customStyle="1" w:styleId="apple-tab-span">
    <w:name w:val="apple-tab-span"/>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paragraph" w:customStyle="1" w:styleId="a8">
    <w:name w:val="Заголовок"/>
    <w:basedOn w:val="a"/>
    <w:next w:val="a9"/>
    <w:pPr>
      <w:keepNext/>
      <w:spacing w:before="240" w:after="120"/>
    </w:pPr>
    <w:rPr>
      <w:rFonts w:ascii="Liberation Sans" w:eastAsia="Microsoft YaHei" w:hAnsi="Liberation Sans" w:cs="Mangal"/>
      <w:sz w:val="28"/>
      <w:szCs w:val="28"/>
    </w:rPr>
  </w:style>
  <w:style w:type="paragraph" w:styleId="a9">
    <w:name w:val="Body Text"/>
    <w:basedOn w:val="a"/>
    <w:pPr>
      <w:spacing w:after="120"/>
    </w:pPr>
  </w:style>
  <w:style w:type="paragraph" w:styleId="aa">
    <w:name w:val="List"/>
    <w:basedOn w:val="a9"/>
    <w:rPr>
      <w:rFonts w:cs="Tahoma"/>
    </w:rPr>
  </w:style>
  <w:style w:type="paragraph" w:styleId="ab">
    <w:name w:val="caption"/>
    <w:basedOn w:val="a"/>
    <w:qFormat/>
    <w:pPr>
      <w:suppressLineNumbers/>
      <w:spacing w:before="120" w:after="120"/>
    </w:pPr>
    <w:rPr>
      <w:rFonts w:cs="Mangal"/>
      <w:i/>
      <w:iCs/>
    </w:rPr>
  </w:style>
  <w:style w:type="paragraph" w:customStyle="1" w:styleId="5">
    <w:name w:val="Указатель5"/>
    <w:basedOn w:val="a"/>
    <w:pPr>
      <w:suppressLineNumbers/>
    </w:pPr>
    <w:rPr>
      <w:lang/>
    </w:rPr>
  </w:style>
  <w:style w:type="paragraph" w:styleId="ac">
    <w:name w:val="Title"/>
    <w:basedOn w:val="a"/>
    <w:next w:val="a9"/>
    <w:qFormat/>
    <w:pPr>
      <w:keepNext/>
      <w:spacing w:before="240" w:after="120"/>
    </w:pPr>
    <w:rPr>
      <w:rFonts w:ascii="Arial" w:eastAsia="Lucida Sans Unicode" w:hAnsi="Arial" w:cs="Tahoma"/>
      <w:sz w:val="28"/>
      <w:szCs w:val="28"/>
    </w:rPr>
  </w:style>
  <w:style w:type="paragraph" w:customStyle="1" w:styleId="40">
    <w:name w:val="Название4"/>
    <w:basedOn w:val="a"/>
    <w:pPr>
      <w:suppressLineNumbers/>
      <w:spacing w:before="120" w:after="120"/>
    </w:pPr>
    <w:rPr>
      <w:rFonts w:cs="Tahoma"/>
      <w:i/>
      <w:iCs/>
    </w:rPr>
  </w:style>
  <w:style w:type="paragraph" w:customStyle="1" w:styleId="41">
    <w:name w:val="Указатель4"/>
    <w:basedOn w:val="a"/>
    <w:pPr>
      <w:suppressLineNumbers/>
    </w:pPr>
    <w:rPr>
      <w:rFonts w:cs="Tahoma"/>
    </w:rPr>
  </w:style>
  <w:style w:type="paragraph" w:customStyle="1" w:styleId="30">
    <w:name w:val="Название3"/>
    <w:basedOn w:val="a"/>
    <w:pPr>
      <w:suppressLineNumbers/>
      <w:spacing w:before="120" w:after="120"/>
    </w:pPr>
    <w:rPr>
      <w:rFonts w:cs="Tahoma"/>
      <w:i/>
      <w:iCs/>
    </w:rPr>
  </w:style>
  <w:style w:type="paragraph" w:customStyle="1" w:styleId="31">
    <w:name w:val="Указатель3"/>
    <w:basedOn w:val="a"/>
    <w:pPr>
      <w:suppressLineNumbers/>
    </w:pPr>
    <w:rPr>
      <w:rFonts w:cs="Tahoma"/>
    </w:rPr>
  </w:style>
  <w:style w:type="paragraph" w:customStyle="1" w:styleId="20">
    <w:name w:val="Название2"/>
    <w:basedOn w:val="a"/>
    <w:pPr>
      <w:suppressLineNumbers/>
      <w:spacing w:before="120" w:after="120"/>
    </w:pPr>
    <w:rPr>
      <w:rFonts w:cs="Tahoma"/>
      <w:i/>
      <w:iCs/>
    </w:rPr>
  </w:style>
  <w:style w:type="paragraph" w:customStyle="1" w:styleId="21">
    <w:name w:val="Указатель2"/>
    <w:basedOn w:val="a"/>
    <w:pPr>
      <w:suppressLineNumbers/>
    </w:pPr>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BalloonText">
    <w:name w:val="Balloon Text"/>
    <w:basedOn w:val="a"/>
    <w:rPr>
      <w:rFonts w:ascii="Tahoma" w:hAnsi="Tahoma" w:cs="Tahoma"/>
      <w:sz w:val="16"/>
      <w:szCs w:val="16"/>
    </w:rPr>
  </w:style>
  <w:style w:type="paragraph" w:customStyle="1" w:styleId="ad">
    <w:name w:val="Содержимое врезки"/>
    <w:basedOn w:val="a9"/>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customStyle="1" w:styleId="af0">
    <w:name w:val="Колонтитул"/>
    <w:basedOn w:val="a"/>
  </w:style>
  <w:style w:type="paragraph" w:styleId="af1">
    <w:name w:val="header"/>
    <w:basedOn w:val="a"/>
    <w:pPr>
      <w:tabs>
        <w:tab w:val="center" w:pos="4677"/>
        <w:tab w:val="right" w:pos="9355"/>
      </w:tabs>
    </w:pPr>
  </w:style>
  <w:style w:type="paragraph" w:styleId="af2">
    <w:name w:val="footer"/>
    <w:basedOn w:val="a"/>
    <w:pPr>
      <w:tabs>
        <w:tab w:val="center" w:pos="4677"/>
        <w:tab w:val="right" w:pos="9355"/>
      </w:tabs>
    </w:pPr>
  </w:style>
  <w:style w:type="paragraph" w:customStyle="1" w:styleId="13">
    <w:name w:val="Обычный (веб)1"/>
    <w:basedOn w:val="a"/>
    <w:pPr>
      <w:suppressAutoHyphens w:val="0"/>
      <w:spacing w:before="280" w:after="280"/>
    </w:pPr>
    <w:rPr>
      <w:lang w:eastAsia="ru-RU"/>
    </w:rPr>
  </w:style>
  <w:style w:type="paragraph" w:customStyle="1" w:styleId="ListParagraph">
    <w:name w:val="List Paragraph"/>
    <w:basedOn w:val="a"/>
    <w:pPr>
      <w:ind w:left="720"/>
      <w:contextualSpacing/>
    </w:pPr>
  </w:style>
  <w:style w:type="paragraph" w:customStyle="1" w:styleId="Default">
    <w:name w:val="Default"/>
    <w:pPr>
      <w:suppressAutoHyphens/>
    </w:pPr>
    <w:rPr>
      <w:rFonts w:ascii="Tahoma" w:eastAsia="Calibri"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3780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Приложение №5 к договору</vt:lpstr>
    </vt:vector>
  </TitlesOfParts>
  <Company/>
  <LinksUpToDate>false</LinksUpToDate>
  <CharactersWithSpaces>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договору</dc:title>
  <dc:creator>Бобылева Татьяна Валентиновна</dc:creator>
  <cp:lastModifiedBy>user</cp:lastModifiedBy>
  <cp:revision>2</cp:revision>
  <cp:lastPrinted>2023-12-04T04:39:00Z</cp:lastPrinted>
  <dcterms:created xsi:type="dcterms:W3CDTF">2023-12-22T11:35:00Z</dcterms:created>
  <dcterms:modified xsi:type="dcterms:W3CDTF">2023-12-22T11:35:00Z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ies>
</file>