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5A942AC5"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1340</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2D604679"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proofErr w:type="gramStart"/>
      <w:r w:rsidR="00EB3021">
        <w:tab/>
        <w:t xml:space="preserve">  </w:t>
      </w:r>
      <w:r w:rsidR="004B78C7">
        <w:t>15.08</w:t>
      </w:r>
      <w:r w:rsidR="00F7308E">
        <w:t>.2024</w:t>
      </w:r>
      <w:r w:rsidR="0072644D">
        <w:t>г</w:t>
      </w:r>
      <w:proofErr w:type="gramEnd"/>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00B67F3B"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bookmarkStart w:id="0" w:name="_Hlk174607654"/>
      <w:r w:rsidR="00C153E8" w:rsidRPr="00C153E8">
        <w:rPr>
          <w:b/>
          <w:bCs/>
          <w:sz w:val="22"/>
          <w:szCs w:val="22"/>
          <w:u w:val="single"/>
          <w:lang w:val="ru-RU"/>
        </w:rPr>
        <w:t>Услуги по проведению лабораторных исследований для неорганизованных источников согласно методическим рекомендациям по расчету количества загрязняющих веществ, выделяющихся в атмосферный воздух от неорганизованных источников загрязнения станций аэрации сточных вод</w:t>
      </w:r>
      <w:bookmarkEnd w:id="0"/>
      <w:r w:rsidR="002C3864" w:rsidRPr="002C3864">
        <w:rPr>
          <w:b/>
          <w:sz w:val="22"/>
          <w:szCs w:val="22"/>
          <w:u w:val="single"/>
          <w:lang w:val="ru-RU"/>
        </w:rPr>
        <w:t>;</w:t>
      </w:r>
    </w:p>
    <w:p w14:paraId="13D05595" w14:textId="77777777"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F7308E" w:rsidRPr="00F7308E">
        <w:rPr>
          <w:bCs/>
          <w:sz w:val="22"/>
          <w:szCs w:val="22"/>
          <w:lang w:val="ru-RU"/>
        </w:rPr>
        <w:t>1 условная единица</w:t>
      </w:r>
      <w:r w:rsidRPr="00CC4B9C">
        <w:rPr>
          <w:bCs/>
          <w:sz w:val="22"/>
          <w:szCs w:val="22"/>
          <w:lang w:val="ru-RU"/>
        </w:rPr>
        <w:t>;</w:t>
      </w:r>
    </w:p>
    <w:p w14:paraId="3A6FE396" w14:textId="32FFEB6E" w:rsidR="00190C5C" w:rsidRPr="00F7308E"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C153E8" w:rsidRPr="00C153E8">
        <w:rPr>
          <w:sz w:val="22"/>
          <w:szCs w:val="22"/>
          <w:lang w:val="ru-RU"/>
        </w:rPr>
        <w:t>Исследования проводятся на неорганизованных источниках загрязнения атмосферы станций аэрации сточных вод ОСК МУП «Водоканал» г. Йошкар-Олы - Республика Марий Эл, г. Йошкар-Ола, ул. Луначарского, д.41;</w:t>
      </w:r>
    </w:p>
    <w:p w14:paraId="717ABCA4" w14:textId="26F081FD" w:rsidR="006175A4" w:rsidRPr="00F7308E"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C153E8" w:rsidRPr="00C153E8">
        <w:rPr>
          <w:sz w:val="22"/>
          <w:szCs w:val="22"/>
          <w:lang w:val="ru-RU"/>
        </w:rPr>
        <w:t>с момента заключения договора до 30 августа 2024 года.</w:t>
      </w:r>
    </w:p>
    <w:p w14:paraId="0CA3E6E7" w14:textId="4AE1A5CD"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Условия поставки товара, выполнения работ, оказания услуг</w:t>
      </w:r>
      <w:proofErr w:type="gramStart"/>
      <w:r w:rsidRPr="00365B18">
        <w:rPr>
          <w:b/>
          <w:sz w:val="22"/>
          <w:szCs w:val="22"/>
          <w:lang w:val="ru-RU"/>
        </w:rPr>
        <w:t xml:space="preserve">: </w:t>
      </w:r>
      <w:r w:rsidR="00C153E8" w:rsidRPr="00C153E8">
        <w:rPr>
          <w:sz w:val="22"/>
          <w:szCs w:val="22"/>
          <w:lang w:val="ru-RU"/>
        </w:rPr>
        <w:t>В соответствии с</w:t>
      </w:r>
      <w:proofErr w:type="gramEnd"/>
      <w:r w:rsidR="00C153E8" w:rsidRPr="00C153E8">
        <w:rPr>
          <w:sz w:val="22"/>
          <w:szCs w:val="22"/>
          <w:lang w:val="ru-RU"/>
        </w:rPr>
        <w:t xml:space="preserve"> п.7.2.1.4 ГОСТ ISO/IEC 17025—2019 для всех видов лабораторной деятельности и при необходимости для оценивания неопределенности измерений, лаборатория выбирает подходящие метод (методики) самостоятельно в рамках области аккредитации лаборатории.</w:t>
      </w:r>
    </w:p>
    <w:p w14:paraId="06DDE132" w14:textId="465B461C"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C153E8" w:rsidRPr="00C153E8">
        <w:rPr>
          <w:bCs/>
          <w:sz w:val="22"/>
          <w:szCs w:val="22"/>
          <w:lang w:val="ru-RU"/>
        </w:rPr>
        <w:t>498 200 (Четыреста девяносто восемь тысяч двести) рублей 00 копеек.</w:t>
      </w:r>
    </w:p>
    <w:p w14:paraId="664513CB" w14:textId="77777777" w:rsidR="00C153E8" w:rsidRPr="00C153E8" w:rsidRDefault="006175A4" w:rsidP="00C153E8">
      <w:pPr>
        <w:widowControl w:val="0"/>
        <w:shd w:val="clear" w:color="auto" w:fill="FFFFFF"/>
        <w:autoSpaceDE w:val="0"/>
        <w:autoSpaceDN w:val="0"/>
        <w:adjustRightInd w:val="0"/>
        <w:spacing w:line="276" w:lineRule="auto"/>
        <w:ind w:right="5" w:firstLine="567"/>
        <w:jc w:val="both"/>
        <w:rPr>
          <w:bCs/>
          <w:sz w:val="22"/>
          <w:szCs w:val="22"/>
          <w:lang w:bidi="ru-RU"/>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C153E8" w:rsidRPr="00C153E8">
        <w:rPr>
          <w:bCs/>
          <w:sz w:val="22"/>
          <w:szCs w:val="22"/>
          <w:lang w:bidi="ru-RU"/>
        </w:rPr>
        <w:t>Оплата услуг производится Заказчиком путем перечисления денежных средств на расчетный счет Исполнителя в следующем порядке:</w:t>
      </w:r>
    </w:p>
    <w:p w14:paraId="03154AC9" w14:textId="77777777" w:rsidR="00C153E8" w:rsidRPr="00C153E8" w:rsidRDefault="00C153E8" w:rsidP="00C153E8">
      <w:pPr>
        <w:widowControl w:val="0"/>
        <w:shd w:val="clear" w:color="auto" w:fill="FFFFFF"/>
        <w:autoSpaceDE w:val="0"/>
        <w:autoSpaceDN w:val="0"/>
        <w:adjustRightInd w:val="0"/>
        <w:spacing w:line="276" w:lineRule="auto"/>
        <w:ind w:right="5" w:firstLine="567"/>
        <w:jc w:val="both"/>
        <w:rPr>
          <w:bCs/>
          <w:sz w:val="22"/>
          <w:szCs w:val="22"/>
          <w:lang w:bidi="ru-RU"/>
        </w:rPr>
      </w:pPr>
      <w:r w:rsidRPr="00C153E8">
        <w:rPr>
          <w:bCs/>
          <w:sz w:val="22"/>
          <w:szCs w:val="22"/>
          <w:lang w:bidi="ru-RU"/>
        </w:rPr>
        <w:t xml:space="preserve">         - аванс в размере 50% от общей суммы договора в размере 249 100 (Двести сорок девять тысяч сто) рублей 00 копеек в течение 7 (семи) рабочих дней после получения выставленного Исполнителем счета;</w:t>
      </w:r>
    </w:p>
    <w:p w14:paraId="7A700570" w14:textId="62E2B40B" w:rsidR="002C3864" w:rsidRDefault="00C153E8" w:rsidP="00C153E8">
      <w:pPr>
        <w:widowControl w:val="0"/>
        <w:shd w:val="clear" w:color="auto" w:fill="FFFFFF"/>
        <w:autoSpaceDE w:val="0"/>
        <w:autoSpaceDN w:val="0"/>
        <w:adjustRightInd w:val="0"/>
        <w:spacing w:line="276" w:lineRule="auto"/>
        <w:ind w:right="5" w:firstLine="567"/>
        <w:jc w:val="both"/>
        <w:rPr>
          <w:sz w:val="22"/>
          <w:szCs w:val="22"/>
        </w:rPr>
      </w:pPr>
      <w:r w:rsidRPr="00C153E8">
        <w:rPr>
          <w:bCs/>
          <w:sz w:val="22"/>
          <w:szCs w:val="22"/>
          <w:lang w:bidi="ru-RU"/>
        </w:rPr>
        <w:t xml:space="preserve">         - оставшиеся 50% от общей суммы договора в размере 249 100 (Двести сорок девять тысяч сто) рублей 00 копеек в течение 7 (семи) рабочих дней после подписания акта приема-передачи оказанных услуг на основании выставленного счета.</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77777777" w:rsidR="00106CA7" w:rsidRPr="00365B18" w:rsidRDefault="00EB3021" w:rsidP="00365B18">
                  <w:pPr>
                    <w:ind w:firstLine="155"/>
                    <w:jc w:val="both"/>
                    <w:rPr>
                      <w:sz w:val="21"/>
                      <w:szCs w:val="21"/>
                    </w:rPr>
                  </w:pPr>
                  <w:r>
                    <w:rPr>
                      <w:sz w:val="21"/>
                      <w:szCs w:val="21"/>
                    </w:rPr>
                    <w:t>Отсутствует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5C5E7515" w:rsidR="00220DBE" w:rsidRPr="00365B18" w:rsidRDefault="00A43974" w:rsidP="00365B18">
                  <w:pPr>
                    <w:ind w:firstLine="155"/>
                    <w:jc w:val="both"/>
                    <w:rPr>
                      <w:sz w:val="21"/>
                      <w:szCs w:val="21"/>
                    </w:rPr>
                  </w:pPr>
                  <w:r w:rsidRPr="00A43974">
                    <w:rPr>
                      <w:sz w:val="21"/>
                      <w:szCs w:val="21"/>
                    </w:rPr>
                    <w:t>Отсутствует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 xml:space="preserve">приняла следующее </w:t>
      </w:r>
      <w:r w:rsidR="00A025A8" w:rsidRPr="003A0AD4">
        <w:rPr>
          <w:sz w:val="22"/>
          <w:szCs w:val="22"/>
          <w:lang w:val="ru-RU"/>
        </w:rPr>
        <w:lastRenderedPageBreak/>
        <w:t>решение:</w:t>
      </w:r>
    </w:p>
    <w:p w14:paraId="46EFB25F" w14:textId="0ECCBBFC"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C153E8">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1955A0F" w14:textId="622608AC" w:rsidR="00D86320"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C153E8" w:rsidRPr="00C153E8">
        <w:rPr>
          <w:sz w:val="22"/>
          <w:szCs w:val="22"/>
          <w:lang w:val="ru-RU"/>
        </w:rPr>
        <w:t>19)</w:t>
      </w:r>
      <w:r w:rsidR="00C153E8" w:rsidRPr="00C153E8">
        <w:rPr>
          <w:sz w:val="22"/>
          <w:szCs w:val="22"/>
          <w:lang w:val="ru-RU"/>
        </w:rPr>
        <w:tab/>
        <w:t>В случае, если проводится закупка товаров, работ, услуг на сумму до пятьсот тысяч рублей включительно с учетом НДС и/или иных видов налогов;</w:t>
      </w:r>
      <w:r w:rsidR="00365B18" w:rsidRPr="00402A9D">
        <w:rPr>
          <w:sz w:val="22"/>
          <w:szCs w:val="22"/>
          <w:lang w:val="ru-RU"/>
        </w:rPr>
        <w:t>»</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C153E8">
        <w:rPr>
          <w:bCs/>
          <w:sz w:val="22"/>
          <w:szCs w:val="22"/>
          <w:lang w:val="ru-RU"/>
        </w:rPr>
        <w:t>у</w:t>
      </w:r>
      <w:r w:rsidR="00C153E8" w:rsidRPr="00C153E8">
        <w:rPr>
          <w:bCs/>
          <w:sz w:val="22"/>
          <w:szCs w:val="22"/>
          <w:lang w:val="ru-RU"/>
        </w:rPr>
        <w:t>слуги по проведению лабораторных исследований для неорганизованных источников согласно методическим рекомендациям по расчету количества загрязняющих веществ, выделяющихся в атмосферный воздух от неорганизованных источников загрязнения станций аэрации сточных вод</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7F823DCC" w14:textId="77777777" w:rsidR="00C153E8" w:rsidRDefault="00C153E8" w:rsidP="00C153E8">
      <w:pPr>
        <w:spacing w:line="276" w:lineRule="auto"/>
        <w:ind w:left="426" w:right="-77"/>
        <w:jc w:val="center"/>
        <w:rPr>
          <w:b/>
          <w:bCs/>
          <w:sz w:val="22"/>
          <w:szCs w:val="22"/>
        </w:rPr>
      </w:pPr>
      <w:r w:rsidRPr="00C153E8">
        <w:rPr>
          <w:b/>
          <w:bCs/>
          <w:sz w:val="22"/>
          <w:szCs w:val="22"/>
        </w:rPr>
        <w:t>ОБЩЕСТВО С ОГРАНИЧЕННОЙ</w:t>
      </w:r>
      <w:r>
        <w:rPr>
          <w:b/>
          <w:bCs/>
          <w:sz w:val="22"/>
          <w:szCs w:val="22"/>
        </w:rPr>
        <w:t xml:space="preserve"> </w:t>
      </w:r>
      <w:r w:rsidRPr="00C153E8">
        <w:rPr>
          <w:b/>
          <w:bCs/>
          <w:sz w:val="22"/>
          <w:szCs w:val="22"/>
        </w:rPr>
        <w:t xml:space="preserve">ОТВЕТСТВЕННОСТЬЮ </w:t>
      </w:r>
    </w:p>
    <w:p w14:paraId="1336470F" w14:textId="30CE904A" w:rsidR="00C153E8" w:rsidRPr="00C153E8" w:rsidRDefault="00C153E8" w:rsidP="00C153E8">
      <w:pPr>
        <w:spacing w:line="276" w:lineRule="auto"/>
        <w:ind w:left="426" w:right="-77"/>
        <w:jc w:val="center"/>
        <w:rPr>
          <w:b/>
          <w:bCs/>
          <w:sz w:val="22"/>
          <w:szCs w:val="22"/>
        </w:rPr>
      </w:pPr>
      <w:r w:rsidRPr="00C153E8">
        <w:rPr>
          <w:b/>
          <w:bCs/>
          <w:sz w:val="22"/>
          <w:szCs w:val="22"/>
        </w:rPr>
        <w:t>"ЭКОАНАЛИТИЧЕСКАЯ ЛАБОРАТОРИЯ</w:t>
      </w:r>
    </w:p>
    <w:p w14:paraId="77A1F0DA" w14:textId="2450B4B6" w:rsidR="006D7B6C" w:rsidRDefault="00C153E8" w:rsidP="00C153E8">
      <w:pPr>
        <w:spacing w:line="276" w:lineRule="auto"/>
        <w:ind w:left="426" w:right="-77"/>
        <w:jc w:val="center"/>
        <w:rPr>
          <w:b/>
          <w:bCs/>
          <w:sz w:val="22"/>
          <w:szCs w:val="22"/>
        </w:rPr>
      </w:pPr>
      <w:r w:rsidRPr="00C153E8">
        <w:rPr>
          <w:b/>
          <w:bCs/>
          <w:sz w:val="22"/>
          <w:szCs w:val="22"/>
        </w:rPr>
        <w:t>"МЕГАТЕХ"</w:t>
      </w:r>
    </w:p>
    <w:p w14:paraId="1AA1E1FE" w14:textId="72429BD9"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C153E8" w:rsidRPr="00C153E8">
        <w:rPr>
          <w:b/>
          <w:bCs/>
          <w:sz w:val="22"/>
          <w:szCs w:val="22"/>
        </w:rPr>
        <w:t>1658107682</w:t>
      </w:r>
      <w:r w:rsidR="001D3991">
        <w:rPr>
          <w:b/>
          <w:bCs/>
          <w:sz w:val="22"/>
          <w:szCs w:val="22"/>
        </w:rPr>
        <w:t>/</w:t>
      </w:r>
      <w:r w:rsidR="00C153E8" w:rsidRPr="00C153E8">
        <w:rPr>
          <w:b/>
          <w:bCs/>
          <w:sz w:val="22"/>
          <w:szCs w:val="22"/>
        </w:rPr>
        <w:t>165801001</w:t>
      </w:r>
    </w:p>
    <w:p w14:paraId="51A8186C" w14:textId="07A9AC4D" w:rsidR="00C153E8" w:rsidRPr="00C153E8" w:rsidRDefault="001D3991" w:rsidP="00C153E8">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C153E8" w:rsidRPr="00C153E8">
        <w:rPr>
          <w:bCs/>
          <w:iCs/>
          <w:sz w:val="22"/>
          <w:szCs w:val="22"/>
        </w:rPr>
        <w:t>420095,</w:t>
      </w:r>
      <w:r w:rsidR="00C153E8">
        <w:rPr>
          <w:bCs/>
          <w:iCs/>
          <w:sz w:val="22"/>
          <w:szCs w:val="22"/>
        </w:rPr>
        <w:t xml:space="preserve"> </w:t>
      </w:r>
      <w:r w:rsidR="00C153E8" w:rsidRPr="00C153E8">
        <w:rPr>
          <w:bCs/>
          <w:iCs/>
          <w:sz w:val="22"/>
          <w:szCs w:val="22"/>
        </w:rPr>
        <w:t>РЕСПУБЛИКА ТАТАРСТАН</w:t>
      </w:r>
      <w:r w:rsidR="00C153E8">
        <w:rPr>
          <w:bCs/>
          <w:iCs/>
          <w:sz w:val="22"/>
          <w:szCs w:val="22"/>
        </w:rPr>
        <w:t xml:space="preserve"> </w:t>
      </w:r>
      <w:r w:rsidR="00C153E8" w:rsidRPr="00C153E8">
        <w:rPr>
          <w:bCs/>
          <w:iCs/>
          <w:sz w:val="22"/>
          <w:szCs w:val="22"/>
        </w:rPr>
        <w:t>(ТАТАРСТАН),</w:t>
      </w:r>
    </w:p>
    <w:p w14:paraId="4F679E6C" w14:textId="00C39281" w:rsidR="00423DB7" w:rsidRPr="00423DB7" w:rsidRDefault="00C153E8" w:rsidP="00C153E8">
      <w:pPr>
        <w:spacing w:line="276" w:lineRule="auto"/>
        <w:ind w:left="426" w:right="-77"/>
        <w:jc w:val="center"/>
        <w:rPr>
          <w:b/>
          <w:sz w:val="22"/>
          <w:szCs w:val="22"/>
        </w:rPr>
      </w:pPr>
      <w:r w:rsidRPr="00C153E8">
        <w:rPr>
          <w:bCs/>
          <w:iCs/>
          <w:sz w:val="22"/>
          <w:szCs w:val="22"/>
        </w:rPr>
        <w:t>Г.О. ГОРОД КАЗАНЬ,</w:t>
      </w:r>
      <w:r>
        <w:rPr>
          <w:bCs/>
          <w:iCs/>
          <w:sz w:val="22"/>
          <w:szCs w:val="22"/>
        </w:rPr>
        <w:t xml:space="preserve"> </w:t>
      </w:r>
      <w:r w:rsidRPr="00C153E8">
        <w:rPr>
          <w:bCs/>
          <w:iCs/>
          <w:sz w:val="22"/>
          <w:szCs w:val="22"/>
        </w:rPr>
        <w:t>Г КАЗАНЬ,</w:t>
      </w:r>
      <w:r>
        <w:rPr>
          <w:bCs/>
          <w:iCs/>
          <w:sz w:val="22"/>
          <w:szCs w:val="22"/>
        </w:rPr>
        <w:t xml:space="preserve"> </w:t>
      </w:r>
      <w:r w:rsidRPr="00C153E8">
        <w:rPr>
          <w:bCs/>
          <w:iCs/>
          <w:sz w:val="22"/>
          <w:szCs w:val="22"/>
        </w:rPr>
        <w:t>ТЕР. ХИМГРАД,</w:t>
      </w:r>
      <w:r>
        <w:rPr>
          <w:bCs/>
          <w:iCs/>
          <w:sz w:val="22"/>
          <w:szCs w:val="22"/>
        </w:rPr>
        <w:t xml:space="preserve"> </w:t>
      </w:r>
      <w:r w:rsidRPr="00C153E8">
        <w:rPr>
          <w:bCs/>
          <w:iCs/>
          <w:sz w:val="22"/>
          <w:szCs w:val="22"/>
        </w:rPr>
        <w:t>Д. 105</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373381" w:rsidRPr="003A0AD4" w14:paraId="4B214AED" w14:textId="77777777" w:rsidTr="001D3991">
        <w:trPr>
          <w:trHeight w:val="166"/>
        </w:trPr>
        <w:tc>
          <w:tcPr>
            <w:tcW w:w="8188" w:type="dxa"/>
          </w:tcPr>
          <w:p w14:paraId="68848551" w14:textId="77777777" w:rsidR="00373381" w:rsidRPr="00ED1C47" w:rsidRDefault="00373381" w:rsidP="00A43974">
            <w:pPr>
              <w:spacing w:line="720" w:lineRule="auto"/>
              <w:jc w:val="both"/>
              <w:rPr>
                <w:sz w:val="22"/>
                <w:szCs w:val="22"/>
              </w:rPr>
            </w:pPr>
            <w:r w:rsidRPr="00ED1C47">
              <w:rPr>
                <w:sz w:val="22"/>
                <w:szCs w:val="22"/>
              </w:rPr>
              <w:t>Председатель Единой комиссии:</w:t>
            </w:r>
          </w:p>
        </w:tc>
        <w:tc>
          <w:tcPr>
            <w:tcW w:w="2379" w:type="dxa"/>
          </w:tcPr>
          <w:p w14:paraId="3EFB560F" w14:textId="77777777" w:rsidR="00373381" w:rsidRPr="00ED1C47" w:rsidRDefault="00373381" w:rsidP="00A43974">
            <w:pPr>
              <w:spacing w:line="720" w:lineRule="auto"/>
              <w:jc w:val="both"/>
              <w:rPr>
                <w:bCs/>
                <w:sz w:val="22"/>
                <w:szCs w:val="22"/>
              </w:rPr>
            </w:pPr>
            <w:r w:rsidRPr="00ED1C47">
              <w:rPr>
                <w:bCs/>
                <w:sz w:val="22"/>
                <w:szCs w:val="22"/>
              </w:rPr>
              <w:t>Синяев А.В.</w:t>
            </w:r>
          </w:p>
        </w:tc>
      </w:tr>
      <w:tr w:rsidR="00DA1C05" w:rsidRPr="003A0AD4" w14:paraId="23D40E97" w14:textId="77777777" w:rsidTr="001D3991">
        <w:trPr>
          <w:trHeight w:val="166"/>
        </w:trPr>
        <w:tc>
          <w:tcPr>
            <w:tcW w:w="8188" w:type="dxa"/>
          </w:tcPr>
          <w:p w14:paraId="574438E4" w14:textId="77777777" w:rsidR="00DA1C05" w:rsidRPr="00ED1C47" w:rsidRDefault="00DA1C05" w:rsidP="00A43974">
            <w:pPr>
              <w:spacing w:line="720" w:lineRule="auto"/>
              <w:jc w:val="both"/>
              <w:rPr>
                <w:sz w:val="22"/>
                <w:szCs w:val="22"/>
              </w:rPr>
            </w:pPr>
            <w:r w:rsidRPr="00ED1C47">
              <w:rPr>
                <w:sz w:val="22"/>
                <w:szCs w:val="22"/>
              </w:rPr>
              <w:t>Зам. председателя Единой комиссии:</w:t>
            </w:r>
          </w:p>
        </w:tc>
        <w:tc>
          <w:tcPr>
            <w:tcW w:w="2379" w:type="dxa"/>
          </w:tcPr>
          <w:p w14:paraId="6F477803" w14:textId="77777777" w:rsidR="00DA1C05" w:rsidRPr="00ED1C47" w:rsidRDefault="00423DB7" w:rsidP="00A43974">
            <w:pPr>
              <w:spacing w:line="72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DA1C05" w:rsidRPr="003A0AD4" w14:paraId="06A35C5A" w14:textId="77777777" w:rsidTr="001D3991">
        <w:trPr>
          <w:trHeight w:val="166"/>
        </w:trPr>
        <w:tc>
          <w:tcPr>
            <w:tcW w:w="8188" w:type="dxa"/>
          </w:tcPr>
          <w:p w14:paraId="6ECE085D" w14:textId="77777777" w:rsidR="00DA1C05" w:rsidRPr="00ED1C47" w:rsidRDefault="00DA1C05" w:rsidP="00A43974">
            <w:pPr>
              <w:spacing w:line="720" w:lineRule="auto"/>
              <w:jc w:val="both"/>
              <w:rPr>
                <w:sz w:val="22"/>
                <w:szCs w:val="22"/>
              </w:rPr>
            </w:pPr>
            <w:r w:rsidRPr="00ED1C47">
              <w:rPr>
                <w:sz w:val="22"/>
                <w:szCs w:val="22"/>
              </w:rPr>
              <w:t>Секретарь Единой комиссии:</w:t>
            </w:r>
          </w:p>
        </w:tc>
        <w:tc>
          <w:tcPr>
            <w:tcW w:w="2379" w:type="dxa"/>
          </w:tcPr>
          <w:p w14:paraId="7123D4B0" w14:textId="77777777" w:rsidR="00DA1C05" w:rsidRPr="00ED1C47" w:rsidRDefault="00DA1C05" w:rsidP="00A43974">
            <w:pPr>
              <w:spacing w:line="72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9EC75A" w14:textId="77777777" w:rsidR="007F6D66" w:rsidRDefault="007F6D66">
      <w:r>
        <w:separator/>
      </w:r>
    </w:p>
  </w:endnote>
  <w:endnote w:type="continuationSeparator" w:id="0">
    <w:p w14:paraId="4D5D00DC" w14:textId="77777777" w:rsidR="007F6D66" w:rsidRDefault="007F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A81CA" w14:textId="77777777" w:rsidR="007F6D66" w:rsidRDefault="007F6D66">
      <w:r>
        <w:separator/>
      </w:r>
    </w:p>
  </w:footnote>
  <w:footnote w:type="continuationSeparator" w:id="0">
    <w:p w14:paraId="589B82C3" w14:textId="77777777" w:rsidR="007F6D66" w:rsidRDefault="007F6D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3335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2024-08-15T07:18:00Z</dcterms:created>
  <dcterms:modified xsi:type="dcterms:W3CDTF">2024-08-15T07:18:00Z</dcterms:modified>
</cp:coreProperties>
</file>